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</w:p>
    <w:p>
      <w:pPr>
        <w:jc w:val="center"/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  <w:t>Name</w:t>
      </w:r>
    </w:p>
    <w:p>
      <w:pPr>
        <w:jc w:val="center"/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  <w:t>University affiliation</w:t>
      </w:r>
    </w:p>
    <w:p>
      <w:pPr>
        <w:jc w:val="center"/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Date </w:t>
      </w:r>
    </w:p>
    <w:p>
      <w:pPr>
        <w:jc w:val="center"/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 xml:space="preserve"> </w:t>
      </w:r>
      <w:r>
        <w:rPr>
          <w:b w:val="0"/>
          <w:bCs w:val="0"/>
          <w:color w:val="000000" w:themeColor="text1"/>
          <w:lang w:val="en-US"/>
          <w14:textFill>
            <w14:solidFill>
              <w14:schemeClr w14:val="tx1"/>
            </w14:solidFill>
          </w14:textFill>
        </w:rPr>
        <w:t>Course</w:t>
      </w:r>
      <w:r>
        <w:rPr>
          <w:b/>
          <w:bCs/>
          <w:color w:val="000000" w:themeColor="text1"/>
          <w:lang w:val="en-US"/>
          <w14:textFill>
            <w14:solidFill>
              <w14:schemeClr w14:val="tx1"/>
            </w14:solidFill>
          </w14:textFill>
        </w:rPr>
        <w:t xml:space="preserve"> </w:t>
      </w:r>
    </w:p>
    <w:p>
      <w:pPr>
        <w:jc w:val="center"/>
        <w:rPr>
          <w:b/>
          <w:bCs/>
          <w:color w:val="FF0000"/>
          <w:lang w:val="en-US"/>
        </w:rPr>
      </w:pPr>
    </w:p>
    <w:p>
      <w:pPr>
        <w:jc w:val="center"/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>Diagnostic Assessments Graphic Organizer</w:t>
      </w:r>
    </w:p>
    <w:p>
      <w:pPr>
        <w:jc w:val="center"/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>Tameka W.</w:t>
      </w:r>
    </w:p>
    <w:p>
      <w:pPr>
        <w:jc w:val="center"/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>Grand Canyon University</w:t>
      </w:r>
    </w:p>
    <w:p>
      <w:pPr>
        <w:jc w:val="center"/>
        <w:rPr>
          <w:b/>
          <w:bCs/>
          <w:color w:val="FF0000"/>
          <w:lang w:val="en-US"/>
        </w:rPr>
      </w:pPr>
      <w:r>
        <w:rPr>
          <w:b/>
          <w:bCs/>
          <w:color w:val="FF0000"/>
          <w:lang w:val="en-US"/>
        </w:rPr>
        <w:t>SPD 530- Assessment and Eligibility in special Education: Mild to Moderate Disabilities August 29, 2015 Dr. Zunker</w:t>
      </w:r>
    </w:p>
    <w:p>
      <w:pPr>
        <w:jc w:val="center"/>
        <w:rPr>
          <w:b/>
          <w:bCs/>
          <w:color w:val="FF0000"/>
          <w:lang w:val="en-US"/>
        </w:rPr>
      </w:pPr>
    </w:p>
    <w:p>
      <w:pPr>
        <w:jc w:val="center"/>
        <w:rPr>
          <w:lang w:val="en-US"/>
        </w:rPr>
      </w:pPr>
    </w:p>
    <w:p>
      <w:pPr>
        <w:jc w:val="center"/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Wechsler individual Achievement test- 3</w:t>
      </w:r>
      <w:r>
        <w:rPr>
          <w:color w:val="5B9BD5" w:themeColor="accent1"/>
          <w:vertAlign w:val="superscript"/>
          <w:lang w:val="en-US"/>
          <w14:textFill>
            <w14:solidFill>
              <w14:schemeClr w14:val="accent1"/>
            </w14:solidFill>
          </w14:textFill>
        </w:rPr>
        <w:t>rd</w:t>
      </w:r>
      <w:r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 xml:space="preserve"> edition</w:t>
      </w:r>
    </w:p>
    <w:p>
      <w:pPr>
        <w:jc w:val="center"/>
        <w:rPr>
          <w:lang w:val="en-US"/>
        </w:rPr>
      </w:pPr>
    </w:p>
    <w:p>
      <w:pPr>
        <w:jc w:val="center"/>
        <w:rPr>
          <w:color w:val="548235" w:themeColor="accent6" w:themeShade="BF"/>
          <w:lang w:val="en-US"/>
        </w:rPr>
      </w:pPr>
      <w:r>
        <w:rPr>
          <w:color w:val="548235" w:themeColor="accent6" w:themeShade="BF"/>
          <w:lang w:val="en-US"/>
        </w:rPr>
        <w:t>Ages</w:t>
      </w:r>
    </w:p>
    <w:p>
      <w:pPr>
        <w:jc w:val="center"/>
        <w:rPr>
          <w:lang w:val="en-US"/>
        </w:rPr>
      </w:pPr>
      <w:r>
        <w:rPr>
          <w:lang w:val="en-US"/>
        </w:rPr>
        <w:t>Four to 50 years and 11 months</w:t>
      </w:r>
    </w:p>
    <w:p>
      <w:pPr>
        <w:jc w:val="center"/>
        <w:rPr>
          <w:lang w:val="en-US"/>
        </w:rPr>
      </w:pPr>
      <w:r>
        <w:rPr>
          <w:lang w:val="en-US"/>
        </w:rPr>
        <w:t>Grades K12</w:t>
      </w:r>
    </w:p>
    <w:p>
      <w:pPr>
        <w:jc w:val="center"/>
        <w:rPr>
          <w:lang w:val="en-US"/>
        </w:rPr>
      </w:pPr>
      <w:r>
        <w:rPr>
          <w:b w:val="0"/>
          <w:bCs w:val="0"/>
          <w:color w:val="92D050"/>
          <w:lang w:val="en-US"/>
        </w:rPr>
        <w:t>Assessment measures</w:t>
      </w:r>
    </w:p>
    <w:p>
      <w:pPr>
        <w:jc w:val="center"/>
        <w:rPr>
          <w:lang w:val="en-US"/>
        </w:rPr>
      </w:pPr>
      <w:r>
        <w:rPr>
          <w:lang w:val="en-US"/>
        </w:rPr>
        <w:t>Test that measures listening, speaking, reading, writing and mathematical skills</w:t>
      </w:r>
    </w:p>
    <w:p>
      <w:pPr>
        <w:jc w:val="center"/>
        <w:rPr>
          <w:lang w:val="en-US"/>
        </w:rPr>
      </w:pPr>
      <w:r>
        <w:rPr>
          <w:color w:val="548235" w:themeColor="accent6" w:themeShade="BF"/>
          <w:lang w:val="en-US"/>
        </w:rPr>
        <w:t>Scores yielded</w:t>
      </w:r>
    </w:p>
    <w:p>
      <w:pPr>
        <w:jc w:val="center"/>
        <w:rPr>
          <w:lang w:val="en-US"/>
        </w:rPr>
      </w:pPr>
      <w:r>
        <w:rPr>
          <w:lang w:val="en-US"/>
        </w:rPr>
        <w:t>90-109 intelligence range</w:t>
      </w:r>
    </w:p>
    <w:p>
      <w:pPr>
        <w:jc w:val="center"/>
        <w:rPr>
          <w:lang w:val="en-US"/>
        </w:rPr>
      </w:pPr>
      <w:r>
        <w:rPr>
          <w:lang w:val="en-US"/>
        </w:rPr>
        <w:t>110-119 high rage</w:t>
      </w:r>
    </w:p>
    <w:p>
      <w:pPr>
        <w:jc w:val="center"/>
        <w:rPr>
          <w:lang w:val="en-US"/>
        </w:rPr>
      </w:pPr>
      <w:r>
        <w:rPr>
          <w:lang w:val="en-US"/>
        </w:rPr>
        <w:t>120-129- superior</w:t>
      </w:r>
    </w:p>
    <w:p>
      <w:pPr>
        <w:jc w:val="center"/>
        <w:rPr>
          <w:lang w:val="en-US"/>
        </w:rPr>
      </w:pPr>
      <w:r>
        <w:rPr>
          <w:lang w:val="en-US"/>
        </w:rPr>
        <w:t>Over 130 very superior</w:t>
      </w:r>
    </w:p>
    <w:p>
      <w:pPr>
        <w:jc w:val="center"/>
        <w:rPr>
          <w:color w:val="548235" w:themeColor="accent6" w:themeShade="BF"/>
          <w:lang w:val="en-US"/>
        </w:rPr>
      </w:pPr>
      <w:r>
        <w:rPr>
          <w:color w:val="548235" w:themeColor="accent6" w:themeShade="BF"/>
          <w:lang w:val="en-US"/>
        </w:rPr>
        <w:t>Application of assessment</w:t>
      </w:r>
    </w:p>
    <w:p>
      <w:pPr>
        <w:jc w:val="center"/>
        <w:rPr>
          <w:lang w:val="en-US"/>
        </w:rPr>
      </w:pPr>
      <w:r>
        <w:rPr>
          <w:lang w:val="en-US"/>
        </w:rPr>
        <w:t>Comprehensive academic achievement test n Education clinical and research</w:t>
      </w:r>
    </w:p>
    <w:p>
      <w:pPr>
        <w:jc w:val="center"/>
        <w:rPr>
          <w:color w:val="92D050"/>
          <w:lang w:val="en-US"/>
        </w:rPr>
      </w:pPr>
      <w:r>
        <w:rPr>
          <w:color w:val="92D050"/>
          <w:lang w:val="en-US"/>
        </w:rPr>
        <w:t>Publication Date</w:t>
      </w:r>
    </w:p>
    <w:p>
      <w:pPr>
        <w:jc w:val="center"/>
        <w:rPr>
          <w:lang w:val="en-US"/>
        </w:rPr>
      </w:pPr>
      <w:r>
        <w:rPr>
          <w:lang w:val="en-US"/>
        </w:rPr>
        <w:t xml:space="preserve"> By person in 2009</w:t>
      </w:r>
    </w:p>
    <w:p>
      <w:pPr>
        <w:jc w:val="center"/>
        <w:rPr>
          <w:lang w:val="en-US"/>
        </w:rPr>
      </w:pPr>
    </w:p>
    <w:p>
      <w:pPr>
        <w:jc w:val="center"/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</w:p>
    <w:p>
      <w:pPr>
        <w:jc w:val="center"/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Woodcock-Johnson III Tests of Achievement</w:t>
      </w:r>
    </w:p>
    <w:p>
      <w:pPr>
        <w:jc w:val="center"/>
        <w:rPr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</w:p>
    <w:p>
      <w:pPr>
        <w:jc w:val="center"/>
        <w:rPr>
          <w:color w:val="92D050"/>
          <w:lang w:val="en-US"/>
        </w:rPr>
      </w:pPr>
      <w:r>
        <w:rPr>
          <w:color w:val="92D050"/>
          <w:lang w:val="en-US"/>
        </w:rPr>
        <w:t>Application of assessment</w:t>
      </w:r>
    </w:p>
    <w:p>
      <w:pPr>
        <w:jc w:val="center"/>
        <w:rPr>
          <w:lang w:val="en-US"/>
        </w:rPr>
      </w:pPr>
      <w:r>
        <w:rPr>
          <w:lang w:val="en-US"/>
        </w:rPr>
        <w:t>Forms A and B: Standard and extended battery in one through  12. Extended- 10 tests of in depth diagnostic information on strengths and weaknesses. Tests students to determine if they require special needs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lang w:val="en-US"/>
        </w:rPr>
      </w:pPr>
      <w:r>
        <w:rPr>
          <w:lang w:val="en-US"/>
        </w:rPr>
        <w:t>GRADE Equivalent (GE)</w:t>
      </w:r>
    </w:p>
    <w:p>
      <w:pPr>
        <w:jc w:val="center"/>
        <w:rPr>
          <w:lang w:val="en-US"/>
        </w:rPr>
      </w:pPr>
      <w:r>
        <w:rPr>
          <w:lang w:val="en-US"/>
        </w:rPr>
        <w:t>2.6 is average</w:t>
      </w:r>
    </w:p>
    <w:p>
      <w:pPr>
        <w:jc w:val="center"/>
        <w:rPr>
          <w:lang w:val="en-US"/>
        </w:rPr>
      </w:pPr>
      <w:r>
        <w:rPr>
          <w:lang w:val="en-US"/>
        </w:rPr>
        <w:t>Age Equivalent (AE)</w:t>
      </w:r>
    </w:p>
    <w:p>
      <w:pPr>
        <w:jc w:val="both"/>
        <w:rPr>
          <w:lang w:val="en-US"/>
        </w:rPr>
      </w:pPr>
      <w:r>
        <w:rPr>
          <w:lang w:val="en-US"/>
        </w:rPr>
        <w:t xml:space="preserve">11-4student scored average that someone 11 years and 4 </w:t>
      </w:r>
      <w:r>
        <w:rPr>
          <w:lang w:val="en-US"/>
        </w:rPr>
        <w:tab/>
        <w:t/>
      </w:r>
      <w:r>
        <w:rPr>
          <w:lang w:val="en-US"/>
        </w:rPr>
        <w:tab/>
        <w:t/>
      </w:r>
      <w:r>
        <w:rPr>
          <w:lang w:val="en-US"/>
        </w:rPr>
        <w:tab/>
        <w:t>months old would have scored.</w:t>
      </w:r>
    </w:p>
    <w:p>
      <w:pPr>
        <w:ind w:firstLine="420" w:firstLineChars="0"/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Ages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Two to 90 plus years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Grades- K- graduate school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 </w:t>
      </w:r>
      <w:r>
        <w:rPr>
          <w:b w:val="0"/>
          <w:bCs w:val="0"/>
          <w:color w:val="92D050"/>
          <w:lang w:val="en-US"/>
        </w:rPr>
        <w:t>Assessment measures</w:t>
      </w:r>
    </w:p>
    <w:p>
      <w:pPr>
        <w:ind w:left="1260" w:leftChars="0" w:firstLine="420" w:firstLineChars="0"/>
        <w:jc w:val="both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 six curriculum areas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Reading, oral language, written language, mathematics, academic knowledge and supplemental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Publication Date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1963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Wechsler intelligence scale for children 4</w:t>
      </w:r>
      <w:r>
        <w:rPr>
          <w:b w:val="0"/>
          <w:bCs w:val="0"/>
          <w:color w:val="5B9BD5" w:themeColor="accent1"/>
          <w:vertAlign w:val="superscript"/>
          <w:lang w:val="en-US"/>
          <w14:textFill>
            <w14:solidFill>
              <w14:schemeClr w14:val="accent1"/>
            </w14:solidFill>
          </w14:textFill>
        </w:rPr>
        <w:t>th</w:t>
      </w: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 xml:space="preserve"> edition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1-3 developmentally delayed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4-5 Borderline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6-7 low average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8-12 average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13-14 high average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15-16 superior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17-19 very superior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 xml:space="preserve">Ages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6-16 years Grade level 2-12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Publication Date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2003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WISC IV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 xml:space="preserve">Assessment measures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skills and abilities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Administered by pyschologists who are one on one with the child. </w:t>
      </w:r>
    </w:p>
    <w:p>
      <w:pPr>
        <w:jc w:val="center"/>
        <w:rPr>
          <w:b w:val="0"/>
          <w:bCs w:val="0"/>
          <w:lang w:val="en-US"/>
        </w:rPr>
      </w:pPr>
      <w:r>
        <w:rPr>
          <w:color w:val="92D050"/>
          <w:lang w:val="en-US"/>
        </w:rPr>
        <w:t>Application of assessment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An IQ test that students as young as 6 can take. Reading and writing is no needed when the child takes the test.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WISC IV assessment measures skills and abilities</w:t>
      </w:r>
    </w:p>
    <w:p>
      <w:pPr>
        <w:jc w:val="both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Woodcock- Johnson III Tests of cognitive Ability</w:t>
      </w:r>
    </w:p>
    <w:p>
      <w:pPr>
        <w:jc w:val="center"/>
        <w:rPr>
          <w:b w:val="0"/>
          <w:bCs w:val="0"/>
          <w:color w:val="92D050"/>
          <w:lang w:val="en-US"/>
        </w:rPr>
      </w:pP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color w:val="92D050"/>
          <w:lang w:val="en-US"/>
        </w:rPr>
        <w:t>Application of assessment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Application of assessment is based on cognitive abilities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Assessment measures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General intellectual and cognitive abilities, scholastic, aptitude, oral language and academic achievement.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86.5, 71.6, and 133.6 on deviation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Publication date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Developed in 1977 and was revised in 1989 and2001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Age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2 to 90 years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Grade level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K to graduate school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Conners- 3</w:t>
      </w:r>
      <w:r>
        <w:rPr>
          <w:b w:val="0"/>
          <w:bCs w:val="0"/>
          <w:color w:val="5B9BD5" w:themeColor="accent1"/>
          <w:vertAlign w:val="superscript"/>
          <w:lang w:val="en-US"/>
          <w14:textFill>
            <w14:solidFill>
              <w14:schemeClr w14:val="accent1"/>
            </w14:solidFill>
          </w14:textFill>
        </w:rPr>
        <w:t>rd</w:t>
      </w: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 xml:space="preserve"> edition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Application Assessment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In school- age students by pyschologists, clinicians, psychiatrists, mental health workers, etc.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Assessment measures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Inattention, learning problems, aggression, family relations, ADHD, conduct disorder etc.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 xml:space="preserve">Ages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6-18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Self report 8-18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Grade Level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1-12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Administrator translates raw scores into T- scores to make data easie to understand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Publication date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2008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Vineland Adapive Behavior scales 2</w:t>
      </w:r>
      <w:r>
        <w:rPr>
          <w:b w:val="0"/>
          <w:bCs w:val="0"/>
          <w:color w:val="5B9BD5" w:themeColor="accent1"/>
          <w:vertAlign w:val="superscript"/>
          <w:lang w:val="en-US"/>
          <w14:textFill>
            <w14:solidFill>
              <w14:schemeClr w14:val="accent1"/>
            </w14:solidFill>
          </w14:textFill>
        </w:rPr>
        <w:t>nd</w:t>
      </w: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 xml:space="preserve"> edition</w:t>
      </w:r>
    </w:p>
    <w:p>
      <w:pPr>
        <w:jc w:val="both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Application assesses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Adaptive behaviour in four domains : communication, daily skills, socialization, and motor skills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Assessment measures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The personal and social skills of individual s from birth to adulthood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Publication date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2005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Standard scores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(m-100, sd is equal to 15), percentile ranks, adaptive level. Assist software or manual scores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 xml:space="preserve">Age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Birth to 90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 xml:space="preserve">Grade levels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Preschool to 18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Kaufma Assessment battery for children- 2rd edition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Application assessment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It was developed in order to minimize language language and acquired facts and skills of the childs intellectual ability,( Perangelo &amp; Giuliani, 2012).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Assessment measures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Cognitive ability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 xml:space="preserve">Ages-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3-18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Grade level pre school 18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Publication date 2004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Global web based scoring or manual scoring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 xml:space="preserve">Publication date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2014</w:t>
      </w:r>
    </w:p>
    <w:p>
      <w:pPr>
        <w:jc w:val="center"/>
        <w:rPr>
          <w:b w:val="0"/>
          <w:bCs w:val="0"/>
          <w:lang w:val="en-US"/>
        </w:rPr>
      </w:pP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>Slosson intelligence Test Revised 3</w:t>
      </w:r>
      <w:r>
        <w:rPr>
          <w:b w:val="0"/>
          <w:bCs w:val="0"/>
          <w:color w:val="5B9BD5" w:themeColor="accent1"/>
          <w:vertAlign w:val="superscript"/>
          <w:lang w:val="en-US"/>
          <w14:textFill>
            <w14:solidFill>
              <w14:schemeClr w14:val="accent1"/>
            </w14:solidFill>
          </w14:textFill>
        </w:rPr>
        <w:t>rd</w:t>
      </w:r>
      <w:r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  <w:t xml:space="preserve"> edition</w:t>
      </w:r>
    </w:p>
    <w:p>
      <w:pPr>
        <w:jc w:val="center"/>
        <w:rPr>
          <w:b w:val="0"/>
          <w:bCs w:val="0"/>
          <w:color w:val="5B9BD5" w:themeColor="accent1"/>
          <w:lang w:val="en-US"/>
          <w14:textFill>
            <w14:solidFill>
              <w14:schemeClr w14:val="accent1"/>
            </w14:solidFill>
          </w14:textFill>
        </w:rPr>
      </w:pP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Application assessment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Evaluate crystallized verbal intelligence in children and adults. Can be used with severely profound disabled ( Pierangelo $ Guiliani, 2012).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Assessment measures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Intellectual and cognitive ability. It can be for individual who are visually impaired or blind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color w:val="92D050"/>
          <w:lang w:val="en-US"/>
        </w:rPr>
        <w:t>Age</w:t>
      </w:r>
      <w:r>
        <w:rPr>
          <w:b w:val="0"/>
          <w:bCs w:val="0"/>
          <w:lang w:val="en-US"/>
        </w:rPr>
        <w:t xml:space="preserve"> 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6-89 years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Grade level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Preschool - adult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Publication date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2005</w:t>
      </w:r>
    </w:p>
    <w:p>
      <w:pPr>
        <w:jc w:val="center"/>
        <w:rPr>
          <w:b w:val="0"/>
          <w:bCs w:val="0"/>
          <w:color w:val="92D050"/>
          <w:lang w:val="en-US"/>
        </w:rPr>
      </w:pPr>
      <w:r>
        <w:rPr>
          <w:b w:val="0"/>
          <w:bCs w:val="0"/>
          <w:color w:val="92D050"/>
          <w:lang w:val="en-US"/>
        </w:rPr>
        <w:t>Scores Yielded</w:t>
      </w:r>
    </w:p>
    <w:p>
      <w:pPr>
        <w:jc w:val="center"/>
        <w:rPr>
          <w:b w:val="0"/>
          <w:bCs w:val="0"/>
          <w:lang w:val="en-US"/>
        </w:rPr>
      </w:pPr>
      <w:r>
        <w:rPr>
          <w:b w:val="0"/>
          <w:bCs w:val="0"/>
          <w:lang w:val="en-US"/>
        </w:rPr>
        <w:t>SIT items on test are not presented in a sub test format. The scale has 187 questions and six cognitive domains.</w:t>
      </w:r>
    </w:p>
    <w:p>
      <w:pPr>
        <w:jc w:val="center"/>
        <w:rPr>
          <w:b w:val="0"/>
          <w:bCs w:val="0"/>
          <w:lang w:val="en-US"/>
        </w:rPr>
      </w:pPr>
    </w:p>
    <w:p>
      <w:pPr>
        <w:spacing w:line="480" w:lineRule="auto"/>
        <w:ind w:left="2100" w:leftChars="0" w:firstLine="420" w:firstLineChars="0"/>
        <w:jc w:val="both"/>
        <w:rPr>
          <w:rFonts w:hint="default" w:ascii="Times New Roman" w:hAnsi="Times New Roman" w:cs="Times New Roman"/>
          <w:b/>
          <w:bCs/>
          <w:color w:val="000000" w:themeColor="text1"/>
          <w:sz w:val="16"/>
          <w:szCs w:val="16"/>
          <w:shd w:val="clear" w:color="auto" w:fill="auto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000000" w:themeColor="text1"/>
          <w:sz w:val="16"/>
          <w:szCs w:val="16"/>
          <w:shd w:val="clear" w:color="auto" w:fill="auto"/>
          <w:lang w:val="en-US"/>
          <w14:textFill>
            <w14:solidFill>
              <w14:schemeClr w14:val="tx1"/>
            </w14:solidFill>
          </w14:textFill>
        </w:rPr>
        <w:t>References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>Pierngelo, R. &amp; Giuliani, G.A (20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 xml:space="preserve">12). Assessment in special education: A </w:t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  <w:t xml:space="preserve">pratical approach : problem solving strategies for collaborative </w:t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  <w:t xml:space="preserve">school consultation and team work, upper saddle River, NJ: </w:t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  <w:t/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  <w:t>Pearson.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 xml:space="preserve">Sparrow, E.P. (2010). Essentials of corners Behavior assessment, </w:t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  <w:t>Hoboken, New Jersey: MA: John wiley &amp; sons, inc.</w:t>
      </w:r>
    </w:p>
    <w:p>
      <w:pPr>
        <w:spacing w:line="360" w:lineRule="auto"/>
        <w:jc w:val="left"/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 xml:space="preserve">Woodcock Fmily of tests. (2001). Retrieved from Thompson, D.C.(2008). </w:t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  <w:t xml:space="preserve">Definitions </w:t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color w:val="002060"/>
          <w:sz w:val="16"/>
          <w:szCs w:val="16"/>
          <w:shd w:val="clear" w:color="auto" w:fill="auto"/>
          <w:lang w:val="en-US"/>
        </w:rPr>
        <w:t>for Woodcock johnson III Tables.</w:t>
      </w:r>
    </w:p>
    <w:p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color w:val="FFC000" w:themeColor="accent4"/>
          <w:sz w:val="16"/>
          <w:szCs w:val="16"/>
          <w:shd w:val="clear" w:color="auto" w:fill="auto"/>
          <w:lang w:val="en-US"/>
          <w14:textFill>
            <w14:solidFill>
              <w14:schemeClr w14:val="accent4"/>
            </w14:solidFill>
          </w14:textFill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color w:val="FFC000" w:themeColor="accent4"/>
          <w:sz w:val="16"/>
          <w:szCs w:val="16"/>
          <w:shd w:val="clear" w:color="auto" w:fill="auto"/>
          <w:lang w:val="en-US"/>
          <w14:textFill>
            <w14:solidFill>
              <w14:schemeClr w14:val="accent4"/>
            </w14:solidFill>
          </w14:textFill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color w:val="FFC000" w:themeColor="accent4"/>
          <w:sz w:val="16"/>
          <w:szCs w:val="16"/>
          <w:shd w:val="clear" w:color="auto" w:fill="auto"/>
          <w:lang w:val="en-US"/>
          <w14:textFill>
            <w14:solidFill>
              <w14:schemeClr w14:val="accent4"/>
            </w14:solidFill>
          </w14:textFill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color w:val="FFC000" w:themeColor="accent4"/>
          <w:sz w:val="16"/>
          <w:szCs w:val="16"/>
          <w:shd w:val="clear" w:color="auto" w:fill="auto"/>
          <w:lang w:val="en-US"/>
          <w14:textFill>
            <w14:solidFill>
              <w14:schemeClr w14:val="accent4"/>
            </w14:solidFill>
          </w14:textFill>
        </w:rPr>
      </w:pPr>
    </w:p>
    <w:p>
      <w:pPr>
        <w:spacing w:line="240" w:lineRule="auto"/>
        <w:jc w:val="center"/>
        <w:rPr>
          <w:rFonts w:hint="default" w:ascii="Times New Roman" w:hAnsi="Times New Roman" w:cs="Times New Roman"/>
          <w:b w:val="0"/>
          <w:bCs w:val="0"/>
          <w:color w:val="FFC000" w:themeColor="accent4"/>
          <w:sz w:val="16"/>
          <w:szCs w:val="16"/>
          <w:shd w:val="clear" w:color="auto" w:fill="auto"/>
          <w:lang w:val="en-US"/>
          <w14:textFill>
            <w14:solidFill>
              <w14:schemeClr w14:val="accent4"/>
            </w14:solidFill>
          </w14:textFill>
        </w:rPr>
      </w:pPr>
    </w:p>
    <w:p>
      <w:pPr>
        <w:spacing w:line="240" w:lineRule="auto"/>
        <w:jc w:val="center"/>
        <w:rPr>
          <w:b w:val="0"/>
          <w:bCs w:val="0"/>
          <w:sz w:val="16"/>
          <w:szCs w:val="16"/>
          <w:lang w:val="en-US"/>
        </w:rPr>
      </w:pPr>
    </w:p>
    <w:p>
      <w:pPr>
        <w:spacing w:line="240" w:lineRule="auto"/>
        <w:jc w:val="center"/>
        <w:rPr>
          <w:b w:val="0"/>
          <w:bCs w:val="0"/>
          <w:sz w:val="16"/>
          <w:szCs w:val="16"/>
          <w:lang w:val="en-US"/>
        </w:rPr>
      </w:pPr>
    </w:p>
    <w:p>
      <w:pPr>
        <w:spacing w:line="360" w:lineRule="auto"/>
        <w:jc w:val="center"/>
        <w:rPr>
          <w:b w:val="0"/>
          <w:bCs w:val="0"/>
          <w:sz w:val="24"/>
          <w:szCs w:val="24"/>
          <w:lang w:val="en-US"/>
        </w:rPr>
      </w:pPr>
    </w:p>
    <w:p>
      <w:pPr>
        <w:spacing w:line="360" w:lineRule="auto"/>
        <w:jc w:val="center"/>
        <w:rPr>
          <w:b w:val="0"/>
          <w:bCs w:val="0"/>
          <w:sz w:val="24"/>
          <w:szCs w:val="24"/>
          <w:lang w:val="en-US"/>
        </w:rPr>
      </w:pPr>
    </w:p>
    <w:p>
      <w:pPr>
        <w:jc w:val="center"/>
        <w:rPr>
          <w:lang w:val="en-US"/>
        </w:rPr>
      </w:pPr>
    </w:p>
    <w:sectPr>
      <w:pgSz w:w="8335" w:h="1185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Calibr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Times New Roma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SimSun">
    <w:altName w:val="Times New Roma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Times New Roman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941962"/>
    <w:rsid w:val="00805A9E"/>
    <w:rsid w:val="031036C2"/>
    <w:rsid w:val="09507B80"/>
    <w:rsid w:val="09D54DF5"/>
    <w:rsid w:val="1A9B4BEF"/>
    <w:rsid w:val="1AB235CF"/>
    <w:rsid w:val="1E666B42"/>
    <w:rsid w:val="1FD23025"/>
    <w:rsid w:val="21C679A7"/>
    <w:rsid w:val="31685F4E"/>
    <w:rsid w:val="38EF587C"/>
    <w:rsid w:val="3CB12FBF"/>
    <w:rsid w:val="3E595713"/>
    <w:rsid w:val="3FDF3FF1"/>
    <w:rsid w:val="3FDF77E4"/>
    <w:rsid w:val="441833BE"/>
    <w:rsid w:val="49550D5A"/>
    <w:rsid w:val="49CA3159"/>
    <w:rsid w:val="4B387D5C"/>
    <w:rsid w:val="4C7A6684"/>
    <w:rsid w:val="4D3A75F9"/>
    <w:rsid w:val="515302F4"/>
    <w:rsid w:val="54B82157"/>
    <w:rsid w:val="55F86869"/>
    <w:rsid w:val="56512B35"/>
    <w:rsid w:val="595F5316"/>
    <w:rsid w:val="652D43D3"/>
    <w:rsid w:val="664A1DB0"/>
    <w:rsid w:val="68CB435C"/>
    <w:rsid w:val="69A30094"/>
    <w:rsid w:val="6AA035DA"/>
    <w:rsid w:val="6AB035EC"/>
    <w:rsid w:val="6F81515F"/>
    <w:rsid w:val="71996FFA"/>
    <w:rsid w:val="76C0534D"/>
    <w:rsid w:val="7E94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Office_10.2.0.7439_F1E327BC-269C-435d-A152-05C5408002CA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2018-08-28T21:14:00Z</dcterms:created>
  <dc:creator>Administrator</dc:creator>
  <cp:lastModifiedBy>Administrator</cp:lastModifiedBy>
  <dcterms:modified xsi:type="dcterms:W3CDTF">2018-08-29T00:37:42Z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1033-10.2.0.7439</vt:lpwstr>
  </property>
</Properties>
</file>